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335E5C" w14:textId="7F418430" w:rsidR="00FC0E22" w:rsidRPr="00B664D0" w:rsidRDefault="00FC0E22" w:rsidP="00B664D0">
      <w:pPr>
        <w:bidi/>
        <w:spacing w:line="360" w:lineRule="auto"/>
        <w:ind w:left="720"/>
        <w:rPr>
          <w:rFonts w:cs="B Mitra"/>
          <w:sz w:val="28"/>
          <w:szCs w:val="28"/>
        </w:rPr>
      </w:pPr>
      <w:r w:rsidRPr="00AC70A6">
        <w:rPr>
          <w:rFonts w:cs="B Jadid"/>
          <w:sz w:val="28"/>
          <w:szCs w:val="28"/>
          <w:rtl/>
        </w:rPr>
        <w:t xml:space="preserve">درس خارج فقه کتاب نکاح جلسه </w:t>
      </w:r>
      <w:r w:rsidRPr="00AC70A6">
        <w:rPr>
          <w:rFonts w:cs="B Jadid" w:hint="cs"/>
          <w:sz w:val="28"/>
          <w:szCs w:val="28"/>
          <w:rtl/>
        </w:rPr>
        <w:t>چهارصد و</w:t>
      </w:r>
      <w:r>
        <w:rPr>
          <w:rFonts w:cs="B Jadid" w:hint="cs"/>
          <w:sz w:val="28"/>
          <w:szCs w:val="28"/>
          <w:rtl/>
          <w:lang w:bidi="fa-IR"/>
        </w:rPr>
        <w:t xml:space="preserve"> شصت و </w:t>
      </w:r>
      <w:r w:rsidR="00EB433B">
        <w:rPr>
          <w:rFonts w:cs="B Jadid" w:hint="cs"/>
          <w:sz w:val="28"/>
          <w:szCs w:val="28"/>
          <w:rtl/>
          <w:lang w:bidi="fa-IR"/>
        </w:rPr>
        <w:t>نهم</w:t>
      </w:r>
      <w:r>
        <w:rPr>
          <w:rFonts w:cs="B Jadid" w:hint="cs"/>
          <w:sz w:val="28"/>
          <w:szCs w:val="28"/>
          <w:rtl/>
          <w:lang w:bidi="fa-IR"/>
        </w:rPr>
        <w:t xml:space="preserve">   </w:t>
      </w:r>
      <w:r w:rsidR="0036367A">
        <w:rPr>
          <w:rFonts w:cs="B Jadid" w:hint="cs"/>
          <w:sz w:val="28"/>
          <w:szCs w:val="28"/>
          <w:rtl/>
          <w:lang w:bidi="fa-IR"/>
        </w:rPr>
        <w:t>یک</w:t>
      </w:r>
      <w:r>
        <w:rPr>
          <w:rFonts w:cs="B Jadid" w:hint="cs"/>
          <w:sz w:val="28"/>
          <w:szCs w:val="28"/>
          <w:rtl/>
          <w:lang w:bidi="fa-IR"/>
        </w:rPr>
        <w:t xml:space="preserve"> شنبه</w:t>
      </w:r>
      <w:r w:rsidRPr="00AC70A6">
        <w:rPr>
          <w:rFonts w:cs="B Jadid" w:hint="cs"/>
          <w:sz w:val="28"/>
          <w:szCs w:val="28"/>
          <w:rtl/>
          <w:lang w:bidi="fa-IR"/>
        </w:rPr>
        <w:t xml:space="preserve"> </w:t>
      </w:r>
      <w:r>
        <w:rPr>
          <w:rFonts w:cs="B Jadid" w:hint="cs"/>
          <w:sz w:val="28"/>
          <w:szCs w:val="28"/>
          <w:rtl/>
          <w:lang w:bidi="fa-IR"/>
        </w:rPr>
        <w:t>1</w:t>
      </w:r>
      <w:r w:rsidR="00B664D0">
        <w:rPr>
          <w:rFonts w:cs="B Jadid" w:hint="cs"/>
          <w:sz w:val="28"/>
          <w:szCs w:val="28"/>
          <w:rtl/>
          <w:lang w:bidi="fa-IR"/>
        </w:rPr>
        <w:t>8</w:t>
      </w:r>
      <w:r w:rsidRPr="00AC70A6">
        <w:rPr>
          <w:rFonts w:cs="B Jadid" w:hint="cs"/>
          <w:sz w:val="28"/>
          <w:szCs w:val="28"/>
          <w:rtl/>
        </w:rPr>
        <w:t>/</w:t>
      </w:r>
      <w:r w:rsidR="00B664D0">
        <w:rPr>
          <w:rFonts w:cs="B Jadid" w:hint="cs"/>
          <w:sz w:val="28"/>
          <w:szCs w:val="28"/>
          <w:rtl/>
          <w:lang w:bidi="fa-IR"/>
        </w:rPr>
        <w:t>0</w:t>
      </w:r>
      <w:r w:rsidRPr="00AC70A6">
        <w:rPr>
          <w:rFonts w:cs="B Jadid" w:hint="cs"/>
          <w:sz w:val="28"/>
          <w:szCs w:val="28"/>
          <w:rtl/>
        </w:rPr>
        <w:t>2/140</w:t>
      </w:r>
      <w:r w:rsidR="00B664D0">
        <w:rPr>
          <w:rFonts w:cs="B Jadid" w:hint="cs"/>
          <w:sz w:val="28"/>
          <w:szCs w:val="28"/>
          <w:rtl/>
        </w:rPr>
        <w:t>1</w:t>
      </w:r>
    </w:p>
    <w:p w14:paraId="28EEBCA4" w14:textId="77777777" w:rsidR="00B664D0" w:rsidRPr="00B664D0" w:rsidRDefault="00B664D0" w:rsidP="00B664D0">
      <w:pPr>
        <w:bidi/>
        <w:ind w:left="1440"/>
        <w:rPr>
          <w:rFonts w:cs="B Mitra"/>
          <w:sz w:val="28"/>
          <w:szCs w:val="28"/>
          <w:highlight w:val="yellow"/>
        </w:rPr>
      </w:pPr>
      <w:r w:rsidRPr="00B664D0">
        <w:rPr>
          <w:rFonts w:cs="B Mitra"/>
          <w:sz w:val="28"/>
          <w:szCs w:val="28"/>
          <w:highlight w:val="yellow"/>
          <w:rtl/>
          <w:lang w:bidi="fa-IR"/>
        </w:rPr>
        <w:t>قال المحقّق الحلّي</w:t>
      </w:r>
      <w:r w:rsidRPr="00B664D0">
        <w:rPr>
          <w:rFonts w:cs="B Mitra"/>
          <w:sz w:val="28"/>
          <w:szCs w:val="28"/>
          <w:highlight w:val="yellow"/>
          <w:rtl/>
        </w:rPr>
        <w:t>:</w:t>
      </w:r>
    </w:p>
    <w:p w14:paraId="69C79C7E" w14:textId="77777777" w:rsidR="00B664D0" w:rsidRPr="00B664D0" w:rsidRDefault="00B664D0" w:rsidP="00B664D0">
      <w:pPr>
        <w:bidi/>
        <w:ind w:left="1440"/>
        <w:rPr>
          <w:rFonts w:cs="B Mitra"/>
          <w:sz w:val="28"/>
          <w:szCs w:val="28"/>
        </w:rPr>
      </w:pPr>
      <w:r w:rsidRPr="00B664D0">
        <w:rPr>
          <w:rFonts w:cs="B Mitra"/>
          <w:sz w:val="28"/>
          <w:szCs w:val="28"/>
          <w:highlight w:val="yellow"/>
          <w:rtl/>
          <w:lang w:bidi="fa-IR"/>
        </w:rPr>
        <w:t>«أمّا الجنون فهو فساد العقل، فلا يثبت الخيار مع السهو السريع زواله، ولا مع الإغماء العارض مع غلبة المرّة، وإنّما يثبت الخيار فيه مع استقراره.»</w:t>
      </w:r>
    </w:p>
    <w:p w14:paraId="4595F591" w14:textId="77777777" w:rsidR="00B664D0" w:rsidRPr="00B664D0" w:rsidRDefault="00B664D0" w:rsidP="00B664D0">
      <w:pPr>
        <w:bidi/>
        <w:ind w:left="1440"/>
        <w:rPr>
          <w:rFonts w:cs="B Mitra"/>
          <w:sz w:val="28"/>
          <w:szCs w:val="28"/>
        </w:rPr>
      </w:pPr>
      <w:r w:rsidRPr="00B664D0">
        <w:rPr>
          <w:rFonts w:cs="B Mitra"/>
          <w:sz w:val="28"/>
          <w:szCs w:val="28"/>
          <w:rtl/>
          <w:lang w:bidi="fa-IR"/>
        </w:rPr>
        <w:t>در خصوص جنون و معنای آن، سابقاً و در بحث از موجبات فسخ نکاح توسط زوجه، بحث صورت گرفت.</w:t>
      </w:r>
    </w:p>
    <w:p w14:paraId="24FA8901" w14:textId="77777777" w:rsidR="00B664D0" w:rsidRPr="00B664D0" w:rsidRDefault="00B664D0" w:rsidP="00B664D0">
      <w:pPr>
        <w:bidi/>
        <w:ind w:left="1440"/>
        <w:rPr>
          <w:rFonts w:cs="B Mitra"/>
          <w:sz w:val="28"/>
          <w:szCs w:val="28"/>
        </w:rPr>
      </w:pPr>
      <w:r w:rsidRPr="00B664D0">
        <w:rPr>
          <w:rFonts w:cs="B Mitra"/>
          <w:sz w:val="28"/>
          <w:szCs w:val="28"/>
          <w:rtl/>
          <w:lang w:bidi="fa-IR"/>
        </w:rPr>
        <w:t>البته در خصوص مراد محقق از آنچه که در نهايت کلام خود فرموده</w:t>
      </w:r>
      <w:r w:rsidRPr="00B664D0">
        <w:rPr>
          <w:rFonts w:cs="B Mitra"/>
          <w:sz w:val="28"/>
          <w:szCs w:val="28"/>
          <w:cs/>
          <w:lang w:bidi="fa-IR"/>
        </w:rPr>
        <w:t>‎</w:t>
      </w:r>
      <w:r w:rsidRPr="00B664D0">
        <w:rPr>
          <w:rFonts w:cs="B Mitra"/>
          <w:sz w:val="28"/>
          <w:szCs w:val="28"/>
          <w:rtl/>
          <w:lang w:bidi="fa-IR"/>
        </w:rPr>
        <w:t>اند، صاحب جواهر می</w:t>
      </w:r>
      <w:r w:rsidRPr="00B664D0">
        <w:rPr>
          <w:rFonts w:cs="B Mitra"/>
          <w:sz w:val="28"/>
          <w:szCs w:val="28"/>
          <w:cs/>
          <w:lang w:bidi="fa-IR"/>
        </w:rPr>
        <w:t>‎</w:t>
      </w:r>
      <w:r w:rsidRPr="00B664D0">
        <w:rPr>
          <w:rFonts w:cs="B Mitra"/>
          <w:sz w:val="28"/>
          <w:szCs w:val="28"/>
          <w:rtl/>
          <w:lang w:bidi="fa-IR"/>
        </w:rPr>
        <w:t>فرمايد: «إنّما يثبت الخيار فيه ـ أي الإغماء ونحوه ـ مع استقراره، لكونه حينئذٍ منه وإن سمّي باسم آخر عرفاً كما سمعته فيما تقدّم. واحتمال عود الضمير إلى المجنون يدفعه أنّه لا فرق فيه بعد صدق اسمه نصّاً وفتوىً بين المستقرّ وغيره، والمطبق والأدواري.</w:t>
      </w:r>
    </w:p>
    <w:p w14:paraId="3A66B039" w14:textId="77777777" w:rsidR="00B664D0" w:rsidRPr="00B664D0" w:rsidRDefault="00B664D0" w:rsidP="00B664D0">
      <w:pPr>
        <w:bidi/>
        <w:ind w:left="1440"/>
        <w:rPr>
          <w:rFonts w:cs="B Mitra"/>
          <w:sz w:val="28"/>
          <w:szCs w:val="28"/>
        </w:rPr>
      </w:pPr>
      <w:r w:rsidRPr="00B664D0">
        <w:rPr>
          <w:rFonts w:cs="B Mitra"/>
          <w:sz w:val="28"/>
          <w:szCs w:val="28"/>
          <w:rtl/>
          <w:lang w:bidi="fa-IR"/>
        </w:rPr>
        <w:t>ولعلّ الأولى من ذلك كلّه إيكال الأمر إلى العرف الصحيح القاضي بكونه بفنونه عيباً.»</w:t>
      </w:r>
    </w:p>
    <w:p w14:paraId="62E645C3" w14:textId="7DA764F4" w:rsidR="00B664D0" w:rsidRPr="00B664D0" w:rsidRDefault="00B664D0" w:rsidP="00B664D0">
      <w:pPr>
        <w:bidi/>
        <w:ind w:left="1440"/>
        <w:rPr>
          <w:rFonts w:cs="B Mitra"/>
          <w:sz w:val="28"/>
          <w:szCs w:val="28"/>
        </w:rPr>
      </w:pPr>
      <w:r w:rsidRPr="00B664D0">
        <w:rPr>
          <w:rFonts w:cs="B Mitra"/>
          <w:sz w:val="28"/>
          <w:szCs w:val="28"/>
          <w:rtl/>
          <w:lang w:bidi="fa-IR"/>
        </w:rPr>
        <w:t>حق اين است که آنچه که صاحب جواهر در انتهای کلام خود فرموده</w:t>
      </w:r>
      <w:r w:rsidRPr="00B664D0">
        <w:rPr>
          <w:rFonts w:cs="B Mitra"/>
          <w:sz w:val="28"/>
          <w:szCs w:val="28"/>
          <w:cs/>
          <w:lang w:bidi="fa-IR"/>
        </w:rPr>
        <w:t>‎</w:t>
      </w:r>
      <w:r w:rsidRPr="00B664D0">
        <w:rPr>
          <w:rFonts w:cs="B Mitra"/>
          <w:sz w:val="28"/>
          <w:szCs w:val="28"/>
          <w:rtl/>
          <w:lang w:bidi="fa-IR"/>
        </w:rPr>
        <w:t>اند،</w:t>
      </w:r>
      <w:r>
        <w:rPr>
          <w:rFonts w:cs="B Mitra" w:hint="cs"/>
          <w:sz w:val="28"/>
          <w:szCs w:val="28"/>
          <w:rtl/>
          <w:lang w:bidi="fa-IR"/>
        </w:rPr>
        <w:t xml:space="preserve"> </w:t>
      </w:r>
      <w:r w:rsidRPr="00B664D0">
        <w:rPr>
          <w:rFonts w:cs="B Mitra"/>
          <w:sz w:val="28"/>
          <w:szCs w:val="28"/>
          <w:rtl/>
          <w:lang w:bidi="fa-IR"/>
        </w:rPr>
        <w:t>مطلب صحيحی است و تشخيص جنون را بايد به عرف محوّل نمود و معلوم است که مغمی عليه عرفاً مجنون محسوب نمی</w:t>
      </w:r>
      <w:r w:rsidRPr="00B664D0">
        <w:rPr>
          <w:rFonts w:cs="B Mitra"/>
          <w:sz w:val="28"/>
          <w:szCs w:val="28"/>
          <w:cs/>
          <w:lang w:bidi="fa-IR"/>
        </w:rPr>
        <w:t>‎</w:t>
      </w:r>
      <w:r w:rsidRPr="00B664D0">
        <w:rPr>
          <w:rFonts w:cs="B Mitra"/>
          <w:sz w:val="28"/>
          <w:szCs w:val="28"/>
          <w:rtl/>
          <w:lang w:bidi="fa-IR"/>
        </w:rPr>
        <w:t>شود.</w:t>
      </w:r>
    </w:p>
    <w:p w14:paraId="370F4313" w14:textId="77777777" w:rsidR="00B664D0" w:rsidRPr="00B664D0" w:rsidRDefault="00B664D0" w:rsidP="00B664D0">
      <w:pPr>
        <w:bidi/>
        <w:ind w:left="1440"/>
        <w:rPr>
          <w:rFonts w:cs="B Mitra"/>
          <w:sz w:val="28"/>
          <w:szCs w:val="28"/>
        </w:rPr>
      </w:pPr>
      <w:r w:rsidRPr="00B664D0">
        <w:rPr>
          <w:rFonts w:cs="B Mitra"/>
          <w:sz w:val="28"/>
          <w:szCs w:val="28"/>
          <w:rtl/>
          <w:lang w:bidi="fa-IR"/>
        </w:rPr>
        <w:t>البته سابقاً گفته شد که بعيد نيست تشخيص جنون در اختيار متخصص باشد، اما مراد اين نيست که متخصص به دقت عقلی جنون را تعيين نمايد، چون اکثر افراد از حيث عقلی دارای نقصان</w:t>
      </w:r>
      <w:r w:rsidRPr="00B664D0">
        <w:rPr>
          <w:rFonts w:cs="B Mitra"/>
          <w:sz w:val="28"/>
          <w:szCs w:val="28"/>
          <w:cs/>
          <w:lang w:bidi="fa-IR"/>
        </w:rPr>
        <w:t>‎</w:t>
      </w:r>
      <w:r w:rsidRPr="00B664D0">
        <w:rPr>
          <w:rFonts w:cs="B Mitra"/>
          <w:sz w:val="28"/>
          <w:szCs w:val="28"/>
          <w:rtl/>
          <w:lang w:bidi="fa-IR"/>
        </w:rPr>
        <w:t>هايی هستند، بلکه منظور اين است که متخصص با دقت عرفی و با نظرداشت به معنای عرفی، جنون را تشخيص دهد.</w:t>
      </w:r>
    </w:p>
    <w:p w14:paraId="5F8D05B2" w14:textId="77777777" w:rsidR="00B664D0" w:rsidRPr="00B664D0" w:rsidRDefault="00B664D0" w:rsidP="00B664D0">
      <w:pPr>
        <w:bidi/>
        <w:ind w:left="1440"/>
        <w:rPr>
          <w:rFonts w:cs="B Mitra"/>
          <w:sz w:val="28"/>
          <w:szCs w:val="28"/>
        </w:rPr>
      </w:pPr>
      <w:r w:rsidRPr="00B664D0">
        <w:rPr>
          <w:rFonts w:cs="B Mitra"/>
          <w:sz w:val="28"/>
          <w:szCs w:val="28"/>
          <w:rtl/>
          <w:lang w:bidi="fa-IR"/>
        </w:rPr>
        <w:t>اما مطالبی که در بحث جنون زوج گذشت ـ مبنی بر شمول ادله بر جنون اطباقی و ادواری جريان حکم در نکاح دائم و موقت و امثال آنها ـ در اين مقام نيز صادق هستند.</w:t>
      </w:r>
    </w:p>
    <w:p w14:paraId="5FFAA60C" w14:textId="77777777" w:rsidR="00B664D0" w:rsidRPr="00B664D0" w:rsidRDefault="00B664D0" w:rsidP="00B664D0">
      <w:pPr>
        <w:bidi/>
        <w:ind w:left="1440"/>
        <w:rPr>
          <w:rFonts w:cs="B Mitra"/>
          <w:sz w:val="28"/>
          <w:szCs w:val="28"/>
        </w:rPr>
      </w:pPr>
      <w:r w:rsidRPr="00B664D0">
        <w:rPr>
          <w:rFonts w:cs="B Mitra"/>
          <w:sz w:val="28"/>
          <w:szCs w:val="28"/>
          <w:rtl/>
          <w:lang w:bidi="fa-IR"/>
        </w:rPr>
        <w:t>البته اين نکته که آيا مرد نيز به مانند زن در صورت عروض جنون در همسر ولو بعد از عقد و يا وطی، حق فسخ خواهد داشت يا خير، در مسائل بعدی مورد بررسی قرار خواهد گرفت ان شاء الله.</w:t>
      </w:r>
    </w:p>
    <w:p w14:paraId="6AB80B11" w14:textId="77777777" w:rsidR="00B664D0" w:rsidRPr="00B664D0" w:rsidRDefault="00B664D0" w:rsidP="00B664D0">
      <w:pPr>
        <w:bidi/>
        <w:ind w:left="1440"/>
        <w:rPr>
          <w:rFonts w:cs="B Mitra"/>
          <w:sz w:val="28"/>
          <w:szCs w:val="28"/>
          <w:highlight w:val="yellow"/>
        </w:rPr>
      </w:pPr>
      <w:r w:rsidRPr="00B664D0">
        <w:rPr>
          <w:rFonts w:cs="B Mitra"/>
          <w:sz w:val="28"/>
          <w:szCs w:val="28"/>
          <w:highlight w:val="yellow"/>
          <w:rtl/>
          <w:lang w:bidi="fa-IR"/>
        </w:rPr>
        <w:t>قال المحقّق الحلّي</w:t>
      </w:r>
      <w:r w:rsidRPr="00B664D0">
        <w:rPr>
          <w:rFonts w:cs="B Mitra"/>
          <w:sz w:val="28"/>
          <w:szCs w:val="28"/>
          <w:highlight w:val="yellow"/>
          <w:rtl/>
        </w:rPr>
        <w:t>:</w:t>
      </w:r>
    </w:p>
    <w:p w14:paraId="318D88C2" w14:textId="77777777" w:rsidR="00B664D0" w:rsidRPr="00B664D0" w:rsidRDefault="00B664D0" w:rsidP="00B664D0">
      <w:pPr>
        <w:bidi/>
        <w:ind w:left="1440"/>
        <w:rPr>
          <w:rFonts w:cs="B Mitra"/>
          <w:sz w:val="28"/>
          <w:szCs w:val="28"/>
          <w:highlight w:val="yellow"/>
        </w:rPr>
      </w:pPr>
      <w:r w:rsidRPr="00B664D0">
        <w:rPr>
          <w:rFonts w:cs="B Mitra"/>
          <w:sz w:val="28"/>
          <w:szCs w:val="28"/>
          <w:highlight w:val="yellow"/>
          <w:rtl/>
          <w:lang w:bidi="fa-IR"/>
        </w:rPr>
        <w:t>«وأمّا الجذام فهو الذي يظهر مع يبس الأعضاء وتناثر اللحم، ولا تجزي قوّة الاحتراق ولا تعجّر الوجه ولا استدارة العين.</w:t>
      </w:r>
    </w:p>
    <w:p w14:paraId="1DC43E70" w14:textId="77777777" w:rsidR="00B664D0" w:rsidRPr="00B664D0" w:rsidRDefault="00B664D0" w:rsidP="00B664D0">
      <w:pPr>
        <w:bidi/>
        <w:ind w:left="1440"/>
        <w:rPr>
          <w:rFonts w:cs="B Mitra"/>
          <w:sz w:val="28"/>
          <w:szCs w:val="28"/>
          <w:highlight w:val="yellow"/>
        </w:rPr>
      </w:pPr>
      <w:r w:rsidRPr="00B664D0">
        <w:rPr>
          <w:rFonts w:cs="B Mitra"/>
          <w:sz w:val="28"/>
          <w:szCs w:val="28"/>
          <w:highlight w:val="yellow"/>
          <w:rtl/>
          <w:lang w:bidi="fa-IR"/>
        </w:rPr>
        <w:t>وأمّا البرص فهو البياض الذي يظهر على صفحة البدن لغلبة البلغم.</w:t>
      </w:r>
    </w:p>
    <w:p w14:paraId="0C9C1EDD" w14:textId="77777777" w:rsidR="00B664D0" w:rsidRPr="00B664D0" w:rsidRDefault="00B664D0" w:rsidP="00B664D0">
      <w:pPr>
        <w:bidi/>
        <w:ind w:left="1440"/>
        <w:rPr>
          <w:rFonts w:cs="B Mitra"/>
          <w:sz w:val="28"/>
          <w:szCs w:val="28"/>
        </w:rPr>
      </w:pPr>
      <w:r w:rsidRPr="00B664D0">
        <w:rPr>
          <w:rFonts w:cs="B Mitra"/>
          <w:sz w:val="28"/>
          <w:szCs w:val="28"/>
          <w:highlight w:val="yellow"/>
          <w:rtl/>
          <w:lang w:bidi="fa-IR"/>
        </w:rPr>
        <w:t>ولا يقضى بالتسلّط مع الاشتباه.»</w:t>
      </w:r>
    </w:p>
    <w:p w14:paraId="5F8FFB47" w14:textId="77777777" w:rsidR="00B664D0" w:rsidRPr="00B664D0" w:rsidRDefault="00B664D0" w:rsidP="00B664D0">
      <w:pPr>
        <w:bidi/>
        <w:ind w:left="1440"/>
        <w:rPr>
          <w:rFonts w:cs="B Mitra"/>
          <w:sz w:val="28"/>
          <w:szCs w:val="28"/>
        </w:rPr>
      </w:pPr>
      <w:r w:rsidRPr="00B664D0">
        <w:rPr>
          <w:rFonts w:cs="B Mitra"/>
          <w:sz w:val="28"/>
          <w:szCs w:val="28"/>
          <w:rtl/>
          <w:lang w:bidi="fa-IR"/>
        </w:rPr>
        <w:lastRenderedPageBreak/>
        <w:t>فقهای عظام به تبع عامه در خصوص اين که جذام و برص چه نوع بيماری هستند و علائم آنها چيست، به بحث و بررسی پرداخته</w:t>
      </w:r>
      <w:r w:rsidRPr="00B664D0">
        <w:rPr>
          <w:rFonts w:cs="B Mitra"/>
          <w:sz w:val="28"/>
          <w:szCs w:val="28"/>
          <w:cs/>
          <w:lang w:bidi="fa-IR"/>
        </w:rPr>
        <w:t>‎</w:t>
      </w:r>
      <w:r w:rsidRPr="00B664D0">
        <w:rPr>
          <w:rFonts w:cs="B Mitra"/>
          <w:sz w:val="28"/>
          <w:szCs w:val="28"/>
          <w:rtl/>
          <w:lang w:bidi="fa-IR"/>
        </w:rPr>
        <w:t>اند، در حالی که بحث از اين موضوع از شؤون فقيه نيست و برای تشخيص اين دو بيماری، بايد به پزشک حاذق و متخصص مراجعه شود.</w:t>
      </w:r>
    </w:p>
    <w:p w14:paraId="31A7AA63" w14:textId="77777777" w:rsidR="00B664D0" w:rsidRPr="00B664D0" w:rsidRDefault="00B664D0" w:rsidP="00B664D0">
      <w:pPr>
        <w:bidi/>
        <w:ind w:left="1440"/>
        <w:rPr>
          <w:rFonts w:cs="B Mitra"/>
          <w:sz w:val="28"/>
          <w:szCs w:val="28"/>
        </w:rPr>
      </w:pPr>
      <w:r w:rsidRPr="00B664D0">
        <w:rPr>
          <w:rFonts w:cs="B Mitra"/>
          <w:sz w:val="28"/>
          <w:szCs w:val="28"/>
          <w:rtl/>
          <w:lang w:bidi="fa-IR"/>
        </w:rPr>
        <w:t>اما برخی ادعا کرده</w:t>
      </w:r>
      <w:r w:rsidRPr="00B664D0">
        <w:rPr>
          <w:rFonts w:cs="B Mitra"/>
          <w:sz w:val="28"/>
          <w:szCs w:val="28"/>
          <w:cs/>
          <w:lang w:bidi="fa-IR"/>
        </w:rPr>
        <w:t>‎</w:t>
      </w:r>
      <w:r w:rsidRPr="00B664D0">
        <w:rPr>
          <w:rFonts w:cs="B Mitra"/>
          <w:sz w:val="28"/>
          <w:szCs w:val="28"/>
          <w:rtl/>
          <w:lang w:bidi="fa-IR"/>
        </w:rPr>
        <w:t>اند که صدق اسم عرفی برای تسلط مرد بر فسخ کفايت می</w:t>
      </w:r>
      <w:r w:rsidRPr="00B664D0">
        <w:rPr>
          <w:rFonts w:cs="B Mitra"/>
          <w:sz w:val="28"/>
          <w:szCs w:val="28"/>
          <w:cs/>
          <w:lang w:bidi="fa-IR"/>
        </w:rPr>
        <w:t>‎</w:t>
      </w:r>
      <w:r w:rsidRPr="00B664D0">
        <w:rPr>
          <w:rFonts w:cs="B Mitra"/>
          <w:sz w:val="28"/>
          <w:szCs w:val="28"/>
          <w:rtl/>
          <w:lang w:bidi="fa-IR"/>
        </w:rPr>
        <w:t>کند، در حالی که اين مطلب قابل التزام نيست، چون تشخيص نوع بيماری بر عهده عرف نيست و چه بسا عرف با اشتباه در مصاديق، يک نوع بيماری را به جای بيماری ديگری قلمداد نمايد، بلکه در چنين مواردی رجوع به اهل خبره لازم است.</w:t>
      </w:r>
    </w:p>
    <w:p w14:paraId="765B8479" w14:textId="3AB94577" w:rsidR="00B664D0" w:rsidRPr="00B664D0" w:rsidRDefault="00B664D0" w:rsidP="00B664D0">
      <w:pPr>
        <w:bidi/>
        <w:ind w:left="1440"/>
        <w:rPr>
          <w:rFonts w:cs="B Mitra"/>
          <w:sz w:val="28"/>
          <w:szCs w:val="28"/>
          <w:lang w:bidi="fa-IR"/>
        </w:rPr>
      </w:pPr>
      <w:r w:rsidRPr="00B664D0">
        <w:rPr>
          <w:rFonts w:cs="B Mitra"/>
          <w:sz w:val="28"/>
          <w:szCs w:val="28"/>
          <w:rtl/>
          <w:lang w:bidi="fa-IR"/>
        </w:rPr>
        <w:t>اما آنچه که سابقاً بيان شد مبنی بر اين که ملاک تشخيص جنون، ملاکی</w:t>
      </w:r>
      <w:r>
        <w:rPr>
          <w:rFonts w:cs="B Mitra" w:hint="cs"/>
          <w:sz w:val="28"/>
          <w:szCs w:val="28"/>
          <w:rtl/>
          <w:lang w:bidi="fa-IR"/>
        </w:rPr>
        <w:t xml:space="preserve"> </w:t>
      </w:r>
      <w:r w:rsidRPr="00B664D0">
        <w:rPr>
          <w:rFonts w:cs="B Mitra"/>
          <w:sz w:val="28"/>
          <w:szCs w:val="28"/>
          <w:rtl/>
          <w:lang w:bidi="fa-IR"/>
        </w:rPr>
        <w:t>عرفی است ولو تشخيص آن به توسط متخصص انجام شود، با آنچه که در اينجا بيان شد منافاتی ندارد، چون در جنون همان گونه که سابقاً گذشت، اهل خبره ملاکی برای آن بجز ملاک عرفی در اختيار ندارند.</w:t>
      </w:r>
    </w:p>
    <w:p w14:paraId="2FF6164F" w14:textId="77777777" w:rsidR="00B664D0" w:rsidRPr="00B664D0" w:rsidRDefault="00B664D0" w:rsidP="00B664D0">
      <w:pPr>
        <w:bidi/>
        <w:ind w:left="1440"/>
        <w:rPr>
          <w:rFonts w:cs="B Mitra"/>
          <w:sz w:val="28"/>
          <w:szCs w:val="28"/>
          <w:lang w:bidi="fa-IR"/>
        </w:rPr>
      </w:pPr>
      <w:r w:rsidRPr="00B664D0">
        <w:rPr>
          <w:rFonts w:cs="B Mitra"/>
          <w:sz w:val="28"/>
          <w:szCs w:val="28"/>
          <w:rtl/>
          <w:lang w:bidi="fa-IR"/>
        </w:rPr>
        <w:t>اما با وجود شک در تحقق جذام يا برص، نمی</w:t>
      </w:r>
      <w:r w:rsidRPr="00B664D0">
        <w:rPr>
          <w:rFonts w:cs="B Mitra"/>
          <w:sz w:val="28"/>
          <w:szCs w:val="28"/>
          <w:cs/>
          <w:lang w:bidi="fa-IR"/>
        </w:rPr>
        <w:t>‎</w:t>
      </w:r>
      <w:r w:rsidRPr="00B664D0">
        <w:rPr>
          <w:rFonts w:cs="B Mitra"/>
          <w:sz w:val="28"/>
          <w:szCs w:val="28"/>
          <w:rtl/>
          <w:lang w:bidi="fa-IR"/>
        </w:rPr>
        <w:t>توان زوج را دارای حق فسخ دانست، چون با شک در تحقق موضوع، جريان اصل تحقق آن را منتفی می</w:t>
      </w:r>
      <w:r w:rsidRPr="00B664D0">
        <w:rPr>
          <w:rFonts w:cs="B Mitra"/>
          <w:sz w:val="28"/>
          <w:szCs w:val="28"/>
          <w:cs/>
          <w:lang w:bidi="fa-IR"/>
        </w:rPr>
        <w:t>‎</w:t>
      </w:r>
      <w:r w:rsidRPr="00B664D0">
        <w:rPr>
          <w:rFonts w:cs="B Mitra"/>
          <w:sz w:val="28"/>
          <w:szCs w:val="28"/>
          <w:rtl/>
          <w:lang w:bidi="fa-IR"/>
        </w:rPr>
        <w:t>سازد.</w:t>
      </w:r>
    </w:p>
    <w:p w14:paraId="0EC2B463" w14:textId="77777777" w:rsidR="00B664D0" w:rsidRPr="00B664D0" w:rsidRDefault="00B664D0" w:rsidP="00B664D0">
      <w:pPr>
        <w:bidi/>
        <w:ind w:left="1440"/>
        <w:rPr>
          <w:rFonts w:cs="B Mitra"/>
          <w:sz w:val="28"/>
          <w:szCs w:val="28"/>
          <w:lang w:bidi="fa-IR"/>
        </w:rPr>
      </w:pPr>
      <w:r w:rsidRPr="00B664D0">
        <w:rPr>
          <w:rFonts w:cs="B Mitra"/>
          <w:sz w:val="28"/>
          <w:szCs w:val="28"/>
          <w:rtl/>
          <w:lang w:bidi="fa-IR"/>
        </w:rPr>
        <w:t>آنچه گفته شد مبتنی بر اين نيست که حق فسخ زوج را مبتنی بر مجرد وجود برص و جذام در زوجه بدانيم ولو تدليسی در بين نبوده باشد، بلکه اگر حق فسخ را منوط بر تدليس بدانيم نيز همين مطالب جريان دارد با اين تفاوت که حق فسخ در فرض تدليس، منحصر به زوج نخواهد بود.</w:t>
      </w:r>
    </w:p>
    <w:p w14:paraId="6474A8DC" w14:textId="77777777" w:rsidR="00B664D0" w:rsidRPr="00B664D0" w:rsidRDefault="00B664D0" w:rsidP="00B664D0">
      <w:pPr>
        <w:bidi/>
        <w:ind w:left="1440"/>
        <w:rPr>
          <w:rFonts w:cs="B Mitra"/>
          <w:sz w:val="28"/>
          <w:szCs w:val="28"/>
          <w:highlight w:val="yellow"/>
        </w:rPr>
      </w:pPr>
      <w:r w:rsidRPr="00B664D0">
        <w:rPr>
          <w:rFonts w:cs="B Mitra"/>
          <w:sz w:val="28"/>
          <w:szCs w:val="28"/>
          <w:highlight w:val="yellow"/>
          <w:rtl/>
          <w:lang w:bidi="fa-IR"/>
        </w:rPr>
        <w:t>قال المحقّق الحلّي</w:t>
      </w:r>
      <w:r w:rsidRPr="00B664D0">
        <w:rPr>
          <w:rFonts w:cs="B Mitra"/>
          <w:sz w:val="28"/>
          <w:szCs w:val="28"/>
          <w:highlight w:val="yellow"/>
          <w:rtl/>
        </w:rPr>
        <w:t>:</w:t>
      </w:r>
    </w:p>
    <w:p w14:paraId="6A7EF568" w14:textId="77777777" w:rsidR="00B664D0" w:rsidRPr="00B664D0" w:rsidRDefault="00B664D0" w:rsidP="00B664D0">
      <w:pPr>
        <w:bidi/>
        <w:ind w:left="1440"/>
        <w:rPr>
          <w:rFonts w:cs="B Mitra"/>
          <w:sz w:val="28"/>
          <w:szCs w:val="28"/>
          <w:highlight w:val="yellow"/>
        </w:rPr>
      </w:pPr>
      <w:r w:rsidRPr="00B664D0">
        <w:rPr>
          <w:rFonts w:cs="B Mitra"/>
          <w:sz w:val="28"/>
          <w:szCs w:val="28"/>
          <w:highlight w:val="yellow"/>
          <w:rtl/>
          <w:lang w:bidi="fa-IR"/>
        </w:rPr>
        <w:t>«وأمّا القرن فقد قيل: هو العفل، وقيل: هو عظم ينبت في الرحم يمنع الوطء. والأوّل أشبه.</w:t>
      </w:r>
    </w:p>
    <w:p w14:paraId="23998FCB" w14:textId="77777777" w:rsidR="00B664D0" w:rsidRPr="00B664D0" w:rsidRDefault="00B664D0" w:rsidP="00B664D0">
      <w:pPr>
        <w:bidi/>
        <w:ind w:left="1440"/>
        <w:rPr>
          <w:rFonts w:cs="B Mitra"/>
          <w:sz w:val="28"/>
          <w:szCs w:val="28"/>
          <w:highlight w:val="yellow"/>
        </w:rPr>
      </w:pPr>
      <w:r w:rsidRPr="00B664D0">
        <w:rPr>
          <w:rFonts w:cs="B Mitra"/>
          <w:sz w:val="28"/>
          <w:szCs w:val="28"/>
          <w:highlight w:val="yellow"/>
          <w:rtl/>
          <w:lang w:bidi="fa-IR"/>
        </w:rPr>
        <w:t>فإن لم يمنع الوطء قيل: لا يفسخ به لإمكان الاستمتاع. ولو قيل بالفسخ تمسّكاً بظاهر النقل أمكن.</w:t>
      </w:r>
    </w:p>
    <w:p w14:paraId="552E1FA2" w14:textId="77777777" w:rsidR="00B664D0" w:rsidRPr="00B664D0" w:rsidRDefault="00B664D0" w:rsidP="00B664D0">
      <w:pPr>
        <w:bidi/>
        <w:ind w:left="1440"/>
        <w:rPr>
          <w:rFonts w:cs="B Mitra"/>
          <w:sz w:val="28"/>
          <w:szCs w:val="28"/>
        </w:rPr>
      </w:pPr>
      <w:r w:rsidRPr="00B664D0">
        <w:rPr>
          <w:rFonts w:cs="B Mitra"/>
          <w:sz w:val="28"/>
          <w:szCs w:val="28"/>
          <w:highlight w:val="yellow"/>
          <w:rtl/>
          <w:lang w:bidi="fa-IR"/>
        </w:rPr>
        <w:t>وأمّا الإفضاء فهو تصيير المسلكين واحداً.»</w:t>
      </w:r>
    </w:p>
    <w:p w14:paraId="08405868" w14:textId="5E8EEBB7" w:rsidR="00B664D0" w:rsidRPr="00B664D0" w:rsidRDefault="00B664D0" w:rsidP="00B664D0">
      <w:pPr>
        <w:bidi/>
        <w:ind w:left="1440"/>
        <w:rPr>
          <w:rFonts w:cs="B Mitra"/>
          <w:sz w:val="28"/>
          <w:szCs w:val="28"/>
        </w:rPr>
      </w:pPr>
    </w:p>
    <w:p w14:paraId="1FDF86F8" w14:textId="77777777" w:rsidR="00B664D0" w:rsidRPr="00B664D0" w:rsidRDefault="00B664D0" w:rsidP="00B664D0">
      <w:pPr>
        <w:bidi/>
        <w:ind w:left="1440"/>
        <w:rPr>
          <w:rFonts w:cs="B Mitra"/>
          <w:sz w:val="28"/>
          <w:szCs w:val="28"/>
        </w:rPr>
      </w:pPr>
      <w:r w:rsidRPr="00B664D0">
        <w:rPr>
          <w:rFonts w:cs="B Mitra"/>
          <w:sz w:val="28"/>
          <w:szCs w:val="28"/>
          <w:rtl/>
          <w:lang w:bidi="fa-IR"/>
        </w:rPr>
        <w:t>در خصوص اين که معنای «قرن» چيست، در بين اهل لغت احتلاف وجود دارد.</w:t>
      </w:r>
    </w:p>
    <w:p w14:paraId="5D49A5DE" w14:textId="77777777" w:rsidR="00B664D0" w:rsidRPr="00B664D0" w:rsidRDefault="00B664D0" w:rsidP="00B664D0">
      <w:pPr>
        <w:bidi/>
        <w:ind w:left="1440"/>
        <w:rPr>
          <w:rFonts w:cs="B Mitra"/>
          <w:sz w:val="28"/>
          <w:szCs w:val="28"/>
        </w:rPr>
      </w:pPr>
      <w:r w:rsidRPr="00B664D0">
        <w:rPr>
          <w:rFonts w:cs="B Mitra"/>
          <w:sz w:val="28"/>
          <w:szCs w:val="28"/>
          <w:rtl/>
          <w:lang w:bidi="fa-IR"/>
        </w:rPr>
        <w:t>قال في النهاية: «القَرْن بسكون الراء: شي‌ء يكون فى فرج المرأة كالسنّ يمنع من الوطء، ويقال له: العفلة.»</w:t>
      </w:r>
    </w:p>
    <w:p w14:paraId="6D6D2451" w14:textId="77777777" w:rsidR="00B664D0" w:rsidRPr="00B664D0" w:rsidRDefault="00B664D0" w:rsidP="00B664D0">
      <w:pPr>
        <w:bidi/>
        <w:ind w:left="1440"/>
        <w:rPr>
          <w:rFonts w:cs="B Mitra"/>
          <w:sz w:val="28"/>
          <w:szCs w:val="28"/>
        </w:rPr>
      </w:pPr>
      <w:r w:rsidRPr="00B664D0">
        <w:rPr>
          <w:rFonts w:cs="B Mitra"/>
          <w:sz w:val="28"/>
          <w:szCs w:val="28"/>
          <w:rtl/>
          <w:lang w:bidi="fa-IR"/>
        </w:rPr>
        <w:t>ولکن قال في لسان العرب: «القرناء من النساء: التي في فرجها مانع يمنع من سلوك الذكر فيه، إما غدّة غليظة أو لحمة مرتتقة أو عظم، يقال لذلك كلّه: القرن.»</w:t>
      </w:r>
    </w:p>
    <w:p w14:paraId="0F171C22" w14:textId="77777777" w:rsidR="00B664D0" w:rsidRPr="00B664D0" w:rsidRDefault="00B664D0" w:rsidP="00B664D0">
      <w:pPr>
        <w:bidi/>
        <w:ind w:left="1440"/>
        <w:rPr>
          <w:rFonts w:cs="B Mitra"/>
          <w:sz w:val="28"/>
          <w:szCs w:val="28"/>
        </w:rPr>
      </w:pPr>
      <w:r w:rsidRPr="00B664D0">
        <w:rPr>
          <w:rFonts w:cs="B Mitra"/>
          <w:sz w:val="28"/>
          <w:szCs w:val="28"/>
          <w:rtl/>
          <w:lang w:bidi="fa-IR"/>
        </w:rPr>
        <w:lastRenderedPageBreak/>
        <w:t>وقال الشيخ في المبسوط: «قال أهل الخبرة: العظم لا يكون في الفرج، لكن يلحقها عند الولادة حال ينبت اللحم في فرجها، وهو الذي يسمّى: العفل.»</w:t>
      </w:r>
    </w:p>
    <w:p w14:paraId="049EFCA0" w14:textId="77777777" w:rsidR="00B664D0" w:rsidRPr="00B664D0" w:rsidRDefault="00B664D0" w:rsidP="00B664D0">
      <w:pPr>
        <w:bidi/>
        <w:ind w:left="1440"/>
        <w:rPr>
          <w:rFonts w:cs="B Mitra"/>
          <w:sz w:val="28"/>
          <w:szCs w:val="28"/>
        </w:rPr>
      </w:pPr>
      <w:r w:rsidRPr="00B664D0">
        <w:rPr>
          <w:rFonts w:cs="B Mitra"/>
          <w:sz w:val="28"/>
          <w:szCs w:val="28"/>
          <w:rtl/>
          <w:lang w:bidi="fa-IR"/>
        </w:rPr>
        <w:t>در برخی از روايات نيز «قرن» به «عفل» معنا شده است.</w:t>
      </w:r>
    </w:p>
    <w:p w14:paraId="6CC69910" w14:textId="77777777" w:rsidR="00B664D0" w:rsidRPr="00B664D0" w:rsidRDefault="00B664D0" w:rsidP="00B664D0">
      <w:pPr>
        <w:bidi/>
        <w:ind w:left="1440"/>
        <w:rPr>
          <w:rFonts w:cs="B Mitra"/>
          <w:sz w:val="28"/>
          <w:szCs w:val="28"/>
        </w:rPr>
      </w:pPr>
      <w:r w:rsidRPr="00B664D0">
        <w:rPr>
          <w:rFonts w:cs="B Mitra"/>
          <w:sz w:val="28"/>
          <w:szCs w:val="28"/>
          <w:rtl/>
          <w:lang w:bidi="fa-IR"/>
        </w:rPr>
        <w:t>1 ـ صحيحة عبد الرحمن بن أبي عبد الله عن أبي عبدالله(ع) قال: «المرأة تردّ من أربعة أشياء: من البرص والجذام والجنون والقرن ـ وهو العفل ـ ما لم يقع عليها، فإذا وقع عليها فلا.»</w:t>
      </w:r>
    </w:p>
    <w:p w14:paraId="19EAD999" w14:textId="77777777" w:rsidR="00B664D0" w:rsidRPr="00B664D0" w:rsidRDefault="00B664D0" w:rsidP="00B664D0">
      <w:pPr>
        <w:bidi/>
        <w:ind w:left="1440"/>
        <w:rPr>
          <w:rFonts w:cs="B Mitra"/>
          <w:sz w:val="28"/>
          <w:szCs w:val="28"/>
        </w:rPr>
      </w:pPr>
      <w:r w:rsidRPr="00B664D0">
        <w:rPr>
          <w:rFonts w:cs="B Mitra"/>
          <w:sz w:val="28"/>
          <w:szCs w:val="28"/>
          <w:rtl/>
          <w:lang w:bidi="fa-IR"/>
        </w:rPr>
        <w:t>2 ـ خبر عبد الرحمن بن أبي عبد الله عن أبي عبدالله(ع)، قال: «قال في الرجل إذا تزوّج المرأة فوجد</w:t>
      </w:r>
      <w:r w:rsidRPr="00B664D0">
        <w:rPr>
          <w:rFonts w:cs="B Mitra"/>
          <w:sz w:val="28"/>
          <w:szCs w:val="28"/>
        </w:rPr>
        <w:t xml:space="preserve">‌ </w:t>
      </w:r>
      <w:r w:rsidRPr="00B664D0">
        <w:rPr>
          <w:rFonts w:cs="B Mitra"/>
          <w:sz w:val="28"/>
          <w:szCs w:val="28"/>
          <w:rtl/>
          <w:lang w:bidi="fa-IR"/>
        </w:rPr>
        <w:t>بها قرناً ـ وهو العفل ـ أو بياضاً أو جذاماً: إنّه يردّها ما لم يدخل بها.»</w:t>
      </w:r>
    </w:p>
    <w:p w14:paraId="61AA93E1" w14:textId="77777777" w:rsidR="00B664D0" w:rsidRPr="00B664D0" w:rsidRDefault="00B664D0" w:rsidP="00B664D0">
      <w:pPr>
        <w:bidi/>
        <w:ind w:left="1440"/>
        <w:rPr>
          <w:rFonts w:cs="B Mitra"/>
          <w:sz w:val="28"/>
          <w:szCs w:val="28"/>
        </w:rPr>
      </w:pPr>
      <w:r w:rsidRPr="00B664D0">
        <w:rPr>
          <w:rFonts w:cs="B Mitra"/>
          <w:sz w:val="28"/>
          <w:szCs w:val="28"/>
          <w:rtl/>
          <w:lang w:bidi="fa-IR"/>
        </w:rPr>
        <w:t>اما آنچه که از اخبار و لغت به دست می</w:t>
      </w:r>
      <w:r w:rsidRPr="00B664D0">
        <w:rPr>
          <w:rFonts w:cs="B Mitra"/>
          <w:sz w:val="28"/>
          <w:szCs w:val="28"/>
          <w:cs/>
          <w:lang w:bidi="fa-IR"/>
        </w:rPr>
        <w:t>‎</w:t>
      </w:r>
      <w:r w:rsidRPr="00B664D0">
        <w:rPr>
          <w:rFonts w:cs="B Mitra"/>
          <w:sz w:val="28"/>
          <w:szCs w:val="28"/>
          <w:rtl/>
          <w:lang w:bidi="fa-IR"/>
        </w:rPr>
        <w:t>آيد اين است که قرن يا عفل چيزی است که در رحم زن بوده و مانع از تحقق جماع می</w:t>
      </w:r>
      <w:r w:rsidRPr="00B664D0">
        <w:rPr>
          <w:rFonts w:cs="B Mitra"/>
          <w:sz w:val="28"/>
          <w:szCs w:val="28"/>
          <w:cs/>
          <w:lang w:bidi="fa-IR"/>
        </w:rPr>
        <w:t>‎</w:t>
      </w:r>
      <w:r w:rsidRPr="00B664D0">
        <w:rPr>
          <w:rFonts w:cs="B Mitra"/>
          <w:sz w:val="28"/>
          <w:szCs w:val="28"/>
          <w:rtl/>
          <w:lang w:bidi="fa-IR"/>
        </w:rPr>
        <w:t>گردد، اعم از اين که استخوان باشد يا گوشت يا غده يا هر چيز ديگری.</w:t>
      </w:r>
    </w:p>
    <w:p w14:paraId="67F7FBA6" w14:textId="77777777" w:rsidR="00B664D0" w:rsidRPr="00B664D0" w:rsidRDefault="00B664D0" w:rsidP="00B664D0">
      <w:pPr>
        <w:bidi/>
        <w:ind w:left="1440"/>
        <w:rPr>
          <w:rFonts w:cs="B Mitra"/>
          <w:sz w:val="28"/>
          <w:szCs w:val="28"/>
        </w:rPr>
      </w:pPr>
      <w:r w:rsidRPr="00B664D0">
        <w:rPr>
          <w:rFonts w:cs="B Mitra"/>
          <w:sz w:val="28"/>
          <w:szCs w:val="28"/>
          <w:rtl/>
          <w:lang w:bidi="fa-IR"/>
        </w:rPr>
        <w:t>مؤيد اين مطلب نيز روايت ابی الصباح کنانی است: قال: «سألت أبا عبدالله(ع)</w:t>
      </w:r>
    </w:p>
    <w:p w14:paraId="2C0CC714" w14:textId="77777777" w:rsidR="00B664D0" w:rsidRPr="00B664D0" w:rsidRDefault="00B664D0" w:rsidP="00B664D0">
      <w:pPr>
        <w:bidi/>
        <w:ind w:left="1440"/>
        <w:rPr>
          <w:rFonts w:cs="B Mitra"/>
          <w:sz w:val="28"/>
          <w:szCs w:val="28"/>
        </w:rPr>
      </w:pPr>
      <w:r w:rsidRPr="00B664D0">
        <w:rPr>
          <w:rFonts w:cs="B Mitra"/>
          <w:sz w:val="28"/>
          <w:szCs w:val="28"/>
          <w:rtl/>
          <w:lang w:bidi="fa-IR"/>
        </w:rPr>
        <w:t>عن رجل تزوّج امرأة فوجد بها قرناً؟ قال: فقال: هذه لا تحبل ولا يقدر زوجها على مجامعتها، يردّها على أهلها صاغرة ولا مهر لها.»</w:t>
      </w:r>
    </w:p>
    <w:p w14:paraId="013E1BCB" w14:textId="77777777" w:rsidR="00B664D0" w:rsidRPr="00B664D0" w:rsidRDefault="00B664D0" w:rsidP="00B664D0">
      <w:pPr>
        <w:bidi/>
        <w:ind w:left="1440"/>
        <w:rPr>
          <w:rFonts w:cs="B Mitra"/>
          <w:sz w:val="28"/>
          <w:szCs w:val="28"/>
        </w:rPr>
      </w:pPr>
      <w:r w:rsidRPr="00B664D0">
        <w:rPr>
          <w:rFonts w:cs="B Mitra"/>
          <w:sz w:val="28"/>
          <w:szCs w:val="28"/>
          <w:rtl/>
          <w:lang w:bidi="fa-IR"/>
        </w:rPr>
        <w:t>اما آنچه که شيخ ادعا کرده</w:t>
      </w:r>
      <w:r w:rsidRPr="00B664D0">
        <w:rPr>
          <w:rFonts w:cs="B Mitra"/>
          <w:sz w:val="28"/>
          <w:szCs w:val="28"/>
          <w:cs/>
          <w:lang w:bidi="fa-IR"/>
        </w:rPr>
        <w:t>‎</w:t>
      </w:r>
      <w:r w:rsidRPr="00B664D0">
        <w:rPr>
          <w:rFonts w:cs="B Mitra"/>
          <w:sz w:val="28"/>
          <w:szCs w:val="28"/>
          <w:rtl/>
          <w:lang w:bidi="fa-IR"/>
        </w:rPr>
        <w:t>اند مبنی بر اين که استخوان امکان رويش در داخل رحم را ندارد می</w:t>
      </w:r>
      <w:r w:rsidRPr="00B664D0">
        <w:rPr>
          <w:rFonts w:cs="B Mitra"/>
          <w:sz w:val="28"/>
          <w:szCs w:val="28"/>
          <w:cs/>
          <w:lang w:bidi="fa-IR"/>
        </w:rPr>
        <w:t>‎</w:t>
      </w:r>
      <w:r w:rsidRPr="00B664D0">
        <w:rPr>
          <w:rFonts w:cs="B Mitra"/>
          <w:sz w:val="28"/>
          <w:szCs w:val="28"/>
          <w:rtl/>
          <w:lang w:bidi="fa-IR"/>
        </w:rPr>
        <w:t>توان اين گونه پاسخ داد که مراد از استخوانی که مانع از وطی می</w:t>
      </w:r>
      <w:r w:rsidRPr="00B664D0">
        <w:rPr>
          <w:rFonts w:cs="B Mitra"/>
          <w:sz w:val="28"/>
          <w:szCs w:val="28"/>
          <w:cs/>
          <w:lang w:bidi="fa-IR"/>
        </w:rPr>
        <w:t>‎</w:t>
      </w:r>
      <w:r w:rsidRPr="00B664D0">
        <w:rPr>
          <w:rFonts w:cs="B Mitra"/>
          <w:sz w:val="28"/>
          <w:szCs w:val="28"/>
          <w:rtl/>
          <w:lang w:bidi="fa-IR"/>
        </w:rPr>
        <w:t>شود، استخوان روييده در رحم نيست، بلکه استخوان لگن است که رحم در داخل آن واقع است و ممکن است به واسطه وجود زائده استخوانی، ورودی رحم مسدود شده باشد.</w:t>
      </w:r>
    </w:p>
    <w:p w14:paraId="46BCDFD6" w14:textId="77777777" w:rsidR="00B664D0" w:rsidRPr="00B664D0" w:rsidRDefault="00B664D0" w:rsidP="00B664D0">
      <w:pPr>
        <w:bidi/>
        <w:ind w:left="1440"/>
        <w:rPr>
          <w:rFonts w:cs="B Mitra"/>
          <w:sz w:val="28"/>
          <w:szCs w:val="28"/>
        </w:rPr>
      </w:pPr>
      <w:r w:rsidRPr="00B664D0">
        <w:rPr>
          <w:rFonts w:cs="B Mitra"/>
          <w:sz w:val="28"/>
          <w:szCs w:val="28"/>
          <w:rtl/>
          <w:lang w:bidi="fa-IR"/>
        </w:rPr>
        <w:t>اما چنانچه قرن يا عفل مانع از وطی نشود بلکه سبب شود که وطی مشکل و حرجی گردد، آيا باز هم زوج حق فسخ خواهد داشت؟</w:t>
      </w:r>
    </w:p>
    <w:p w14:paraId="56E3EB36" w14:textId="77777777" w:rsidR="00B664D0" w:rsidRPr="00B664D0" w:rsidRDefault="00B664D0" w:rsidP="00B664D0">
      <w:pPr>
        <w:bidi/>
        <w:ind w:left="1440"/>
        <w:rPr>
          <w:rFonts w:cs="B Mitra"/>
          <w:sz w:val="28"/>
          <w:szCs w:val="28"/>
        </w:rPr>
      </w:pPr>
      <w:r w:rsidRPr="00B664D0">
        <w:rPr>
          <w:rFonts w:cs="B Mitra"/>
          <w:sz w:val="28"/>
          <w:szCs w:val="28"/>
          <w:rtl/>
          <w:lang w:bidi="fa-IR"/>
        </w:rPr>
        <w:t>دو قول در مسأله وجود دارد:</w:t>
      </w:r>
    </w:p>
    <w:p w14:paraId="58CCE7AD" w14:textId="77777777" w:rsidR="00B664D0" w:rsidRPr="00B664D0" w:rsidRDefault="00B664D0" w:rsidP="00B664D0">
      <w:pPr>
        <w:bidi/>
        <w:ind w:left="1440"/>
        <w:rPr>
          <w:rFonts w:cs="B Mitra"/>
          <w:sz w:val="28"/>
          <w:szCs w:val="28"/>
        </w:rPr>
      </w:pPr>
      <w:r w:rsidRPr="00B664D0">
        <w:rPr>
          <w:rFonts w:cs="B Mitra"/>
          <w:sz w:val="28"/>
          <w:szCs w:val="28"/>
          <w:rtl/>
          <w:lang w:bidi="fa-IR"/>
        </w:rPr>
        <w:t>1 ـ عدم حق فسخ</w:t>
      </w:r>
    </w:p>
    <w:p w14:paraId="47E0AD44" w14:textId="77777777" w:rsidR="00B664D0" w:rsidRPr="00B664D0" w:rsidRDefault="00B664D0" w:rsidP="00B664D0">
      <w:pPr>
        <w:bidi/>
        <w:ind w:left="1440"/>
        <w:rPr>
          <w:rFonts w:cs="B Mitra"/>
          <w:sz w:val="28"/>
          <w:szCs w:val="28"/>
        </w:rPr>
      </w:pPr>
      <w:r w:rsidRPr="00B664D0">
        <w:rPr>
          <w:rFonts w:cs="B Mitra"/>
          <w:sz w:val="28"/>
          <w:szCs w:val="28"/>
          <w:rtl/>
          <w:lang w:bidi="fa-IR"/>
        </w:rPr>
        <w:t>قال الشيخ في المبسوط: «وأمّا إن كان بها قرن... إن لم يمنع الجماع فلا خيار له، وإن منع فله</w:t>
      </w:r>
      <w:r w:rsidRPr="00B664D0">
        <w:rPr>
          <w:rFonts w:cs="B Mitra"/>
          <w:sz w:val="28"/>
          <w:szCs w:val="28"/>
        </w:rPr>
        <w:t>‌</w:t>
      </w:r>
      <w:r w:rsidRPr="00B664D0">
        <w:rPr>
          <w:rFonts w:cs="B Mitra"/>
          <w:sz w:val="28"/>
          <w:szCs w:val="28"/>
          <w:rtl/>
          <w:lang w:bidi="fa-IR"/>
        </w:rPr>
        <w:t xml:space="preserve"> الخيار.» ومثله کلام القاضي في المهذّب.</w:t>
      </w:r>
    </w:p>
    <w:p w14:paraId="1163E63E" w14:textId="77777777" w:rsidR="00B664D0" w:rsidRPr="00B664D0" w:rsidRDefault="00B664D0" w:rsidP="00B664D0">
      <w:pPr>
        <w:bidi/>
        <w:ind w:left="1440"/>
        <w:rPr>
          <w:rFonts w:cs="B Mitra"/>
          <w:sz w:val="28"/>
          <w:szCs w:val="28"/>
        </w:rPr>
      </w:pPr>
      <w:r w:rsidRPr="00B664D0">
        <w:rPr>
          <w:rFonts w:cs="B Mitra"/>
          <w:sz w:val="28"/>
          <w:szCs w:val="28"/>
          <w:rtl/>
          <w:lang w:bidi="fa-IR"/>
        </w:rPr>
        <w:t xml:space="preserve">وقال العلامة في القواعد: «وأمّا القرن... فإن منع الوطء أوجب الفسخ وإلا فلا.» </w:t>
      </w:r>
    </w:p>
    <w:p w14:paraId="40849883" w14:textId="77777777" w:rsidR="00B664D0" w:rsidRPr="00B664D0" w:rsidRDefault="00B664D0" w:rsidP="00B664D0">
      <w:pPr>
        <w:bidi/>
        <w:ind w:left="1440"/>
        <w:rPr>
          <w:rFonts w:cs="B Mitra"/>
          <w:sz w:val="28"/>
          <w:szCs w:val="28"/>
        </w:rPr>
      </w:pPr>
      <w:r w:rsidRPr="00B664D0">
        <w:rPr>
          <w:rFonts w:cs="B Mitra"/>
          <w:sz w:val="28"/>
          <w:szCs w:val="28"/>
          <w:rtl/>
          <w:lang w:bidi="fa-IR"/>
        </w:rPr>
        <w:t>صاحب مسالک اين قول را به اکثر و صاحب حدائق به مشهور نسبت داده</w:t>
      </w:r>
      <w:r w:rsidRPr="00B664D0">
        <w:rPr>
          <w:rFonts w:cs="B Mitra"/>
          <w:sz w:val="28"/>
          <w:szCs w:val="28"/>
          <w:cs/>
          <w:lang w:bidi="fa-IR"/>
        </w:rPr>
        <w:t>‎</w:t>
      </w:r>
      <w:r w:rsidRPr="00B664D0">
        <w:rPr>
          <w:rFonts w:cs="B Mitra"/>
          <w:sz w:val="28"/>
          <w:szCs w:val="28"/>
          <w:rtl/>
          <w:lang w:bidi="fa-IR"/>
        </w:rPr>
        <w:t>اند.</w:t>
      </w:r>
    </w:p>
    <w:p w14:paraId="39DBB813" w14:textId="77777777" w:rsidR="00B664D0" w:rsidRPr="00B664D0" w:rsidRDefault="00B664D0" w:rsidP="00B664D0">
      <w:pPr>
        <w:bidi/>
        <w:ind w:left="1440"/>
        <w:rPr>
          <w:rFonts w:cs="B Mitra"/>
          <w:sz w:val="28"/>
          <w:szCs w:val="28"/>
        </w:rPr>
      </w:pPr>
      <w:r w:rsidRPr="00B664D0">
        <w:rPr>
          <w:rFonts w:cs="B Mitra"/>
          <w:sz w:val="28"/>
          <w:szCs w:val="28"/>
          <w:rtl/>
          <w:lang w:bidi="fa-IR"/>
        </w:rPr>
        <w:t>2 ـ وجود حق فسخ:</w:t>
      </w:r>
    </w:p>
    <w:p w14:paraId="3D318C9D" w14:textId="77777777" w:rsidR="00B664D0" w:rsidRPr="00B664D0" w:rsidRDefault="00B664D0" w:rsidP="00B664D0">
      <w:pPr>
        <w:bidi/>
        <w:ind w:left="1440"/>
        <w:rPr>
          <w:rFonts w:cs="B Mitra"/>
          <w:sz w:val="28"/>
          <w:szCs w:val="28"/>
        </w:rPr>
      </w:pPr>
      <w:r w:rsidRPr="00B664D0">
        <w:rPr>
          <w:rFonts w:cs="B Mitra"/>
          <w:sz w:val="28"/>
          <w:szCs w:val="28"/>
          <w:rtl/>
          <w:lang w:bidi="fa-IR"/>
        </w:rPr>
        <w:lastRenderedPageBreak/>
        <w:t>قال ابن إدريس في السرائر: «إذا تزوّج الرجل بامرأة فوجدها برصاء أو جذماء أو عمياء أو رتقاء أو قرناء أو مفضاة أو عرجاء أو مجنونة، كان له ردّها من غير طلاق، فإن كان قد دخل بها كان لها المهر بما استحلّ من فرجها... ومتى وطئها بعد العلم بحالها أو علم بحالها ورضي، لم يكن له بعد ذلك ردّها.»</w:t>
      </w:r>
    </w:p>
    <w:p w14:paraId="7510A686" w14:textId="77777777" w:rsidR="00B664D0" w:rsidRPr="00B664D0" w:rsidRDefault="00B664D0" w:rsidP="00B664D0">
      <w:pPr>
        <w:bidi/>
        <w:ind w:left="1440"/>
        <w:rPr>
          <w:rFonts w:cs="B Mitra"/>
          <w:sz w:val="28"/>
          <w:szCs w:val="28"/>
        </w:rPr>
      </w:pPr>
      <w:r w:rsidRPr="00B664D0">
        <w:rPr>
          <w:rFonts w:cs="B Mitra"/>
          <w:sz w:val="28"/>
          <w:szCs w:val="28"/>
          <w:rtl/>
          <w:lang w:bidi="fa-IR"/>
        </w:rPr>
        <w:t>وقال الشهيد الثاني في المسال</w:t>
      </w:r>
      <w:r w:rsidRPr="00B664D0">
        <w:rPr>
          <w:rFonts w:cs="B Mitra"/>
          <w:sz w:val="28"/>
          <w:szCs w:val="28"/>
          <w:rtl/>
        </w:rPr>
        <w:t>ك</w:t>
      </w:r>
      <w:r w:rsidRPr="00B664D0">
        <w:rPr>
          <w:rFonts w:cs="B Mitra"/>
          <w:sz w:val="28"/>
          <w:szCs w:val="28"/>
          <w:rtl/>
          <w:lang w:bidi="fa-IR"/>
        </w:rPr>
        <w:t>: «هذا القول قويّ إن لم يكن الإجماع على خلافه، إذ لا يظهر به قائل صريحاً، كما يظهر من عبارة المصنّف بقوله: «ولو قيل بالفسخ أمكن».»</w:t>
      </w:r>
    </w:p>
    <w:p w14:paraId="1AD15BFE" w14:textId="77777777" w:rsidR="00B664D0" w:rsidRPr="00B664D0" w:rsidRDefault="00B664D0" w:rsidP="00B664D0">
      <w:pPr>
        <w:bidi/>
        <w:ind w:left="1440"/>
        <w:rPr>
          <w:rFonts w:cs="B Mitra"/>
          <w:sz w:val="28"/>
          <w:szCs w:val="28"/>
        </w:rPr>
      </w:pPr>
      <w:r w:rsidRPr="00B664D0">
        <w:rPr>
          <w:rFonts w:cs="B Mitra"/>
          <w:sz w:val="28"/>
          <w:szCs w:val="28"/>
          <w:rtl/>
          <w:lang w:bidi="fa-IR"/>
        </w:rPr>
        <w:t>وقال المحدّث البحراني في الحدائق: «الظاهر من الأخبار هو ثبوت الخيار به وإن أمكن الوطء.»</w:t>
      </w:r>
    </w:p>
    <w:p w14:paraId="6CC2D5BE" w14:textId="77777777" w:rsidR="00B664D0" w:rsidRPr="00B664D0" w:rsidRDefault="00B664D0" w:rsidP="00B664D0">
      <w:pPr>
        <w:bidi/>
        <w:ind w:left="1440"/>
        <w:rPr>
          <w:rFonts w:cs="B Mitra"/>
          <w:sz w:val="28"/>
          <w:szCs w:val="28"/>
        </w:rPr>
      </w:pPr>
      <w:r w:rsidRPr="00B664D0">
        <w:rPr>
          <w:rFonts w:cs="B Mitra"/>
          <w:sz w:val="28"/>
          <w:szCs w:val="28"/>
          <w:rtl/>
          <w:lang w:bidi="fa-IR"/>
        </w:rPr>
        <w:t>وقال صاحب الجواهر: «لو قيل بالفسخ به مطلقاً تمسّكاً بظاهر النقل أمكن، بل هو الأقوى لإطلاق الأدلّة.»</w:t>
      </w:r>
    </w:p>
    <w:p w14:paraId="21DF8BCE" w14:textId="77777777" w:rsidR="00712FC3" w:rsidRPr="00B664D0" w:rsidRDefault="00712FC3" w:rsidP="00B664D0">
      <w:pPr>
        <w:bidi/>
        <w:ind w:left="1440"/>
        <w:rPr>
          <w:rFonts w:cs="B Mitra"/>
          <w:sz w:val="28"/>
          <w:szCs w:val="28"/>
        </w:rPr>
      </w:pPr>
    </w:p>
    <w:sectPr w:rsidR="00712FC3" w:rsidRPr="00B664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E22"/>
    <w:rsid w:val="0036367A"/>
    <w:rsid w:val="00712FC3"/>
    <w:rsid w:val="00B664D0"/>
    <w:rsid w:val="00EB433B"/>
    <w:rsid w:val="00FC0E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252D0"/>
  <w15:chartTrackingRefBased/>
  <w15:docId w15:val="{3875D922-C69E-4589-B220-D69BA5697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0E2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873436">
      <w:bodyDiv w:val="1"/>
      <w:marLeft w:val="0"/>
      <w:marRight w:val="0"/>
      <w:marTop w:val="0"/>
      <w:marBottom w:val="0"/>
      <w:divBdr>
        <w:top w:val="none" w:sz="0" w:space="0" w:color="auto"/>
        <w:left w:val="none" w:sz="0" w:space="0" w:color="auto"/>
        <w:bottom w:val="none" w:sz="0" w:space="0" w:color="auto"/>
        <w:right w:val="none" w:sz="0" w:space="0" w:color="auto"/>
      </w:divBdr>
    </w:div>
    <w:div w:id="344744318">
      <w:bodyDiv w:val="1"/>
      <w:marLeft w:val="0"/>
      <w:marRight w:val="0"/>
      <w:marTop w:val="0"/>
      <w:marBottom w:val="0"/>
      <w:divBdr>
        <w:top w:val="none" w:sz="0" w:space="0" w:color="auto"/>
        <w:left w:val="none" w:sz="0" w:space="0" w:color="auto"/>
        <w:bottom w:val="none" w:sz="0" w:space="0" w:color="auto"/>
        <w:right w:val="none" w:sz="0" w:space="0" w:color="auto"/>
      </w:divBdr>
    </w:div>
    <w:div w:id="413744385">
      <w:bodyDiv w:val="1"/>
      <w:marLeft w:val="0"/>
      <w:marRight w:val="0"/>
      <w:marTop w:val="0"/>
      <w:marBottom w:val="0"/>
      <w:divBdr>
        <w:top w:val="none" w:sz="0" w:space="0" w:color="auto"/>
        <w:left w:val="none" w:sz="0" w:space="0" w:color="auto"/>
        <w:bottom w:val="none" w:sz="0" w:space="0" w:color="auto"/>
        <w:right w:val="none" w:sz="0" w:space="0" w:color="auto"/>
      </w:divBdr>
    </w:div>
    <w:div w:id="467012968">
      <w:bodyDiv w:val="1"/>
      <w:marLeft w:val="0"/>
      <w:marRight w:val="0"/>
      <w:marTop w:val="0"/>
      <w:marBottom w:val="0"/>
      <w:divBdr>
        <w:top w:val="none" w:sz="0" w:space="0" w:color="auto"/>
        <w:left w:val="none" w:sz="0" w:space="0" w:color="auto"/>
        <w:bottom w:val="none" w:sz="0" w:space="0" w:color="auto"/>
        <w:right w:val="none" w:sz="0" w:space="0" w:color="auto"/>
      </w:divBdr>
    </w:div>
    <w:div w:id="492068758">
      <w:bodyDiv w:val="1"/>
      <w:marLeft w:val="0"/>
      <w:marRight w:val="0"/>
      <w:marTop w:val="0"/>
      <w:marBottom w:val="0"/>
      <w:divBdr>
        <w:top w:val="none" w:sz="0" w:space="0" w:color="auto"/>
        <w:left w:val="none" w:sz="0" w:space="0" w:color="auto"/>
        <w:bottom w:val="none" w:sz="0" w:space="0" w:color="auto"/>
        <w:right w:val="none" w:sz="0" w:space="0" w:color="auto"/>
      </w:divBdr>
    </w:div>
    <w:div w:id="566762556">
      <w:bodyDiv w:val="1"/>
      <w:marLeft w:val="0"/>
      <w:marRight w:val="0"/>
      <w:marTop w:val="0"/>
      <w:marBottom w:val="0"/>
      <w:divBdr>
        <w:top w:val="none" w:sz="0" w:space="0" w:color="auto"/>
        <w:left w:val="none" w:sz="0" w:space="0" w:color="auto"/>
        <w:bottom w:val="none" w:sz="0" w:space="0" w:color="auto"/>
        <w:right w:val="none" w:sz="0" w:space="0" w:color="auto"/>
      </w:divBdr>
    </w:div>
    <w:div w:id="572549529">
      <w:bodyDiv w:val="1"/>
      <w:marLeft w:val="0"/>
      <w:marRight w:val="0"/>
      <w:marTop w:val="0"/>
      <w:marBottom w:val="0"/>
      <w:divBdr>
        <w:top w:val="none" w:sz="0" w:space="0" w:color="auto"/>
        <w:left w:val="none" w:sz="0" w:space="0" w:color="auto"/>
        <w:bottom w:val="none" w:sz="0" w:space="0" w:color="auto"/>
        <w:right w:val="none" w:sz="0" w:space="0" w:color="auto"/>
      </w:divBdr>
    </w:div>
    <w:div w:id="584730513">
      <w:bodyDiv w:val="1"/>
      <w:marLeft w:val="0"/>
      <w:marRight w:val="0"/>
      <w:marTop w:val="0"/>
      <w:marBottom w:val="0"/>
      <w:divBdr>
        <w:top w:val="none" w:sz="0" w:space="0" w:color="auto"/>
        <w:left w:val="none" w:sz="0" w:space="0" w:color="auto"/>
        <w:bottom w:val="none" w:sz="0" w:space="0" w:color="auto"/>
        <w:right w:val="none" w:sz="0" w:space="0" w:color="auto"/>
      </w:divBdr>
    </w:div>
    <w:div w:id="609823683">
      <w:bodyDiv w:val="1"/>
      <w:marLeft w:val="0"/>
      <w:marRight w:val="0"/>
      <w:marTop w:val="0"/>
      <w:marBottom w:val="0"/>
      <w:divBdr>
        <w:top w:val="none" w:sz="0" w:space="0" w:color="auto"/>
        <w:left w:val="none" w:sz="0" w:space="0" w:color="auto"/>
        <w:bottom w:val="none" w:sz="0" w:space="0" w:color="auto"/>
        <w:right w:val="none" w:sz="0" w:space="0" w:color="auto"/>
      </w:divBdr>
    </w:div>
    <w:div w:id="640817317">
      <w:bodyDiv w:val="1"/>
      <w:marLeft w:val="0"/>
      <w:marRight w:val="0"/>
      <w:marTop w:val="0"/>
      <w:marBottom w:val="0"/>
      <w:divBdr>
        <w:top w:val="none" w:sz="0" w:space="0" w:color="auto"/>
        <w:left w:val="none" w:sz="0" w:space="0" w:color="auto"/>
        <w:bottom w:val="none" w:sz="0" w:space="0" w:color="auto"/>
        <w:right w:val="none" w:sz="0" w:space="0" w:color="auto"/>
      </w:divBdr>
    </w:div>
    <w:div w:id="1029258597">
      <w:bodyDiv w:val="1"/>
      <w:marLeft w:val="0"/>
      <w:marRight w:val="0"/>
      <w:marTop w:val="0"/>
      <w:marBottom w:val="0"/>
      <w:divBdr>
        <w:top w:val="none" w:sz="0" w:space="0" w:color="auto"/>
        <w:left w:val="none" w:sz="0" w:space="0" w:color="auto"/>
        <w:bottom w:val="none" w:sz="0" w:space="0" w:color="auto"/>
        <w:right w:val="none" w:sz="0" w:space="0" w:color="auto"/>
      </w:divBdr>
    </w:div>
    <w:div w:id="1198422360">
      <w:bodyDiv w:val="1"/>
      <w:marLeft w:val="0"/>
      <w:marRight w:val="0"/>
      <w:marTop w:val="0"/>
      <w:marBottom w:val="0"/>
      <w:divBdr>
        <w:top w:val="none" w:sz="0" w:space="0" w:color="auto"/>
        <w:left w:val="none" w:sz="0" w:space="0" w:color="auto"/>
        <w:bottom w:val="none" w:sz="0" w:space="0" w:color="auto"/>
        <w:right w:val="none" w:sz="0" w:space="0" w:color="auto"/>
      </w:divBdr>
    </w:div>
    <w:div w:id="1217593850">
      <w:bodyDiv w:val="1"/>
      <w:marLeft w:val="0"/>
      <w:marRight w:val="0"/>
      <w:marTop w:val="0"/>
      <w:marBottom w:val="0"/>
      <w:divBdr>
        <w:top w:val="none" w:sz="0" w:space="0" w:color="auto"/>
        <w:left w:val="none" w:sz="0" w:space="0" w:color="auto"/>
        <w:bottom w:val="none" w:sz="0" w:space="0" w:color="auto"/>
        <w:right w:val="none" w:sz="0" w:space="0" w:color="auto"/>
      </w:divBdr>
    </w:div>
    <w:div w:id="1241909564">
      <w:bodyDiv w:val="1"/>
      <w:marLeft w:val="0"/>
      <w:marRight w:val="0"/>
      <w:marTop w:val="0"/>
      <w:marBottom w:val="0"/>
      <w:divBdr>
        <w:top w:val="none" w:sz="0" w:space="0" w:color="auto"/>
        <w:left w:val="none" w:sz="0" w:space="0" w:color="auto"/>
        <w:bottom w:val="none" w:sz="0" w:space="0" w:color="auto"/>
        <w:right w:val="none" w:sz="0" w:space="0" w:color="auto"/>
      </w:divBdr>
    </w:div>
    <w:div w:id="1325624239">
      <w:bodyDiv w:val="1"/>
      <w:marLeft w:val="0"/>
      <w:marRight w:val="0"/>
      <w:marTop w:val="0"/>
      <w:marBottom w:val="0"/>
      <w:divBdr>
        <w:top w:val="none" w:sz="0" w:space="0" w:color="auto"/>
        <w:left w:val="none" w:sz="0" w:space="0" w:color="auto"/>
        <w:bottom w:val="none" w:sz="0" w:space="0" w:color="auto"/>
        <w:right w:val="none" w:sz="0" w:space="0" w:color="auto"/>
      </w:divBdr>
    </w:div>
    <w:div w:id="1490563313">
      <w:bodyDiv w:val="1"/>
      <w:marLeft w:val="0"/>
      <w:marRight w:val="0"/>
      <w:marTop w:val="0"/>
      <w:marBottom w:val="0"/>
      <w:divBdr>
        <w:top w:val="none" w:sz="0" w:space="0" w:color="auto"/>
        <w:left w:val="none" w:sz="0" w:space="0" w:color="auto"/>
        <w:bottom w:val="none" w:sz="0" w:space="0" w:color="auto"/>
        <w:right w:val="none" w:sz="0" w:space="0" w:color="auto"/>
      </w:divBdr>
    </w:div>
    <w:div w:id="1661731571">
      <w:bodyDiv w:val="1"/>
      <w:marLeft w:val="0"/>
      <w:marRight w:val="0"/>
      <w:marTop w:val="0"/>
      <w:marBottom w:val="0"/>
      <w:divBdr>
        <w:top w:val="none" w:sz="0" w:space="0" w:color="auto"/>
        <w:left w:val="none" w:sz="0" w:space="0" w:color="auto"/>
        <w:bottom w:val="none" w:sz="0" w:space="0" w:color="auto"/>
        <w:right w:val="none" w:sz="0" w:space="0" w:color="auto"/>
      </w:divBdr>
    </w:div>
    <w:div w:id="1786726672">
      <w:bodyDiv w:val="1"/>
      <w:marLeft w:val="0"/>
      <w:marRight w:val="0"/>
      <w:marTop w:val="0"/>
      <w:marBottom w:val="0"/>
      <w:divBdr>
        <w:top w:val="none" w:sz="0" w:space="0" w:color="auto"/>
        <w:left w:val="none" w:sz="0" w:space="0" w:color="auto"/>
        <w:bottom w:val="none" w:sz="0" w:space="0" w:color="auto"/>
        <w:right w:val="none" w:sz="0" w:space="0" w:color="auto"/>
      </w:divBdr>
    </w:div>
    <w:div w:id="1834448833">
      <w:bodyDiv w:val="1"/>
      <w:marLeft w:val="0"/>
      <w:marRight w:val="0"/>
      <w:marTop w:val="0"/>
      <w:marBottom w:val="0"/>
      <w:divBdr>
        <w:top w:val="none" w:sz="0" w:space="0" w:color="auto"/>
        <w:left w:val="none" w:sz="0" w:space="0" w:color="auto"/>
        <w:bottom w:val="none" w:sz="0" w:space="0" w:color="auto"/>
        <w:right w:val="none" w:sz="0" w:space="0" w:color="auto"/>
      </w:divBdr>
    </w:div>
    <w:div w:id="2059471604">
      <w:bodyDiv w:val="1"/>
      <w:marLeft w:val="0"/>
      <w:marRight w:val="0"/>
      <w:marTop w:val="0"/>
      <w:marBottom w:val="0"/>
      <w:divBdr>
        <w:top w:val="none" w:sz="0" w:space="0" w:color="auto"/>
        <w:left w:val="none" w:sz="0" w:space="0" w:color="auto"/>
        <w:bottom w:val="none" w:sz="0" w:space="0" w:color="auto"/>
        <w:right w:val="none" w:sz="0" w:space="0" w:color="auto"/>
      </w:divBdr>
    </w:div>
    <w:div w:id="2130388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849</Words>
  <Characters>4844</Characters>
  <Application>Microsoft Office Word</Application>
  <DocSecurity>0</DocSecurity>
  <Lines>40</Lines>
  <Paragraphs>11</Paragraphs>
  <ScaleCrop>false</ScaleCrop>
  <Company/>
  <LinksUpToDate>false</LinksUpToDate>
  <CharactersWithSpaces>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dc:creator>
  <cp:keywords/>
  <dc:description/>
  <cp:lastModifiedBy>alireZa ansarinia</cp:lastModifiedBy>
  <cp:revision>4</cp:revision>
  <dcterms:created xsi:type="dcterms:W3CDTF">2022-05-08T06:20:00Z</dcterms:created>
  <dcterms:modified xsi:type="dcterms:W3CDTF">2022-05-09T08:14:00Z</dcterms:modified>
</cp:coreProperties>
</file>